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CC6A5" w14:textId="0257D809" w:rsidR="00571DE9" w:rsidRPr="00C03725" w:rsidRDefault="0046729B" w:rsidP="0046729B">
      <w:pPr>
        <w:jc w:val="center"/>
        <w:rPr>
          <w:rFonts w:asciiTheme="majorHAnsi" w:hAnsiTheme="majorHAnsi"/>
          <w:b/>
          <w:color w:val="0000FF"/>
          <w:sz w:val="48"/>
          <w:szCs w:val="48"/>
        </w:rPr>
      </w:pPr>
      <w:bookmarkStart w:id="0" w:name="_GoBack"/>
      <w:bookmarkEnd w:id="0"/>
      <w:r w:rsidRPr="00022C03">
        <w:rPr>
          <w:rFonts w:asciiTheme="majorHAnsi" w:hAnsiTheme="majorHAnsi"/>
          <w:b/>
          <w:color w:val="0000FF"/>
          <w:sz w:val="48"/>
          <w:szCs w:val="48"/>
        </w:rPr>
        <w:t xml:space="preserve">Partenariat </w:t>
      </w:r>
      <w:r w:rsidR="004D10C2">
        <w:rPr>
          <w:rFonts w:asciiTheme="majorHAnsi" w:hAnsiTheme="majorHAnsi"/>
          <w:b/>
          <w:color w:val="0000FF"/>
          <w:sz w:val="48"/>
          <w:szCs w:val="48"/>
        </w:rPr>
        <w:t xml:space="preserve">de l’UPA </w:t>
      </w:r>
      <w:r w:rsidRPr="00022C03">
        <w:rPr>
          <w:rFonts w:asciiTheme="majorHAnsi" w:hAnsiTheme="majorHAnsi"/>
          <w:b/>
          <w:color w:val="0000FF"/>
          <w:sz w:val="48"/>
          <w:szCs w:val="48"/>
        </w:rPr>
        <w:t xml:space="preserve">avec </w:t>
      </w:r>
      <w:r w:rsidR="00AD6440">
        <w:rPr>
          <w:rFonts w:asciiTheme="majorHAnsi" w:hAnsiTheme="majorHAnsi"/>
          <w:b/>
          <w:bCs/>
          <w:color w:val="0000FF"/>
          <w:sz w:val="48"/>
          <w:szCs w:val="48"/>
        </w:rPr>
        <w:t>l</w:t>
      </w:r>
      <w:r w:rsidRPr="00022C03">
        <w:rPr>
          <w:rFonts w:asciiTheme="majorHAnsi" w:hAnsiTheme="majorHAnsi"/>
          <w:b/>
          <w:bCs/>
          <w:color w:val="0000FF"/>
          <w:sz w:val="48"/>
          <w:szCs w:val="48"/>
        </w:rPr>
        <w:t xml:space="preserve">a </w:t>
      </w:r>
      <w:r w:rsidRPr="0070205E">
        <w:rPr>
          <w:rFonts w:asciiTheme="majorHAnsi" w:hAnsiTheme="majorHAnsi"/>
          <w:b/>
          <w:bCs/>
          <w:i/>
          <w:color w:val="0000FF"/>
          <w:sz w:val="48"/>
          <w:szCs w:val="48"/>
        </w:rPr>
        <w:t>Chartreuse</w:t>
      </w:r>
      <w:r w:rsidR="00C03725">
        <w:rPr>
          <w:rFonts w:asciiTheme="majorHAnsi" w:hAnsiTheme="majorHAnsi"/>
          <w:b/>
          <w:bCs/>
          <w:i/>
          <w:color w:val="0000FF"/>
          <w:sz w:val="48"/>
          <w:szCs w:val="48"/>
        </w:rPr>
        <w:t xml:space="preserve"> -</w:t>
      </w:r>
      <w:r w:rsidR="001C0CFF" w:rsidRPr="0070205E">
        <w:rPr>
          <w:rFonts w:asciiTheme="majorHAnsi" w:hAnsiTheme="majorHAnsi"/>
          <w:b/>
          <w:bCs/>
          <w:i/>
          <w:color w:val="0000FF"/>
          <w:sz w:val="48"/>
          <w:szCs w:val="48"/>
        </w:rPr>
        <w:t xml:space="preserve"> </w:t>
      </w:r>
      <w:r w:rsidR="00C03725" w:rsidRPr="00C03725">
        <w:rPr>
          <w:rFonts w:asciiTheme="majorHAnsi" w:hAnsiTheme="majorHAnsi"/>
          <w:b/>
          <w:bCs/>
          <w:i/>
          <w:color w:val="0000FF"/>
          <w:sz w:val="48"/>
          <w:szCs w:val="48"/>
        </w:rPr>
        <w:t>Centre national des écritures du spectacle</w:t>
      </w:r>
    </w:p>
    <w:p w14:paraId="67165726" w14:textId="77777777" w:rsidR="00551355" w:rsidRDefault="00551355" w:rsidP="0046729B">
      <w:pPr>
        <w:jc w:val="center"/>
        <w:rPr>
          <w:rFonts w:asciiTheme="majorHAnsi" w:hAnsiTheme="majorHAnsi"/>
          <w:b/>
          <w:color w:val="0000FF"/>
          <w:sz w:val="32"/>
        </w:rPr>
      </w:pPr>
    </w:p>
    <w:p w14:paraId="441D8B26" w14:textId="77777777" w:rsidR="0046729B" w:rsidRPr="00F7240A" w:rsidRDefault="00571DE9" w:rsidP="0046729B">
      <w:pPr>
        <w:jc w:val="center"/>
        <w:rPr>
          <w:rFonts w:asciiTheme="majorHAnsi" w:hAnsiTheme="majorHAnsi"/>
          <w:b/>
          <w:color w:val="0000FF"/>
          <w:sz w:val="32"/>
        </w:rPr>
      </w:pPr>
      <w:r w:rsidRPr="00F7240A">
        <w:rPr>
          <w:rFonts w:asciiTheme="majorHAnsi" w:hAnsiTheme="majorHAnsi"/>
          <w:b/>
          <w:color w:val="0000FF"/>
          <w:sz w:val="32"/>
        </w:rPr>
        <w:t>M</w:t>
      </w:r>
      <w:r w:rsidR="0046729B" w:rsidRPr="00F7240A">
        <w:rPr>
          <w:rFonts w:asciiTheme="majorHAnsi" w:hAnsiTheme="majorHAnsi"/>
          <w:b/>
          <w:color w:val="0000FF"/>
          <w:sz w:val="32"/>
        </w:rPr>
        <w:t>ercredi 11 avril 2018 à 18h</w:t>
      </w:r>
    </w:p>
    <w:p w14:paraId="3C6FF72A" w14:textId="77777777" w:rsidR="0046729B" w:rsidRPr="00022C03" w:rsidRDefault="0046729B" w:rsidP="0046729B">
      <w:pPr>
        <w:rPr>
          <w:rFonts w:asciiTheme="majorHAnsi" w:hAnsiTheme="majorHAnsi"/>
        </w:rPr>
      </w:pPr>
    </w:p>
    <w:p w14:paraId="22AA81A2" w14:textId="77777777" w:rsidR="002117BB" w:rsidRDefault="002117BB" w:rsidP="005568F1">
      <w:pPr>
        <w:jc w:val="both"/>
        <w:rPr>
          <w:rFonts w:asciiTheme="majorHAnsi" w:hAnsiTheme="majorHAnsi"/>
          <w:b/>
          <w:bCs/>
        </w:rPr>
      </w:pPr>
    </w:p>
    <w:p w14:paraId="15147B95" w14:textId="1C800CA7" w:rsidR="00F04CB6" w:rsidRDefault="0046729B" w:rsidP="005568F1">
      <w:pPr>
        <w:jc w:val="both"/>
        <w:rPr>
          <w:rFonts w:asciiTheme="majorHAnsi" w:hAnsiTheme="majorHAnsi"/>
          <w:bCs/>
        </w:rPr>
      </w:pPr>
      <w:r w:rsidRPr="00022C03">
        <w:rPr>
          <w:rFonts w:asciiTheme="majorHAnsi" w:hAnsiTheme="majorHAnsi"/>
          <w:b/>
          <w:bCs/>
        </w:rPr>
        <w:t>La Chartreuse</w:t>
      </w:r>
      <w:r w:rsidRPr="00022C03">
        <w:rPr>
          <w:rFonts w:asciiTheme="majorHAnsi" w:hAnsiTheme="majorHAnsi"/>
        </w:rPr>
        <w:t xml:space="preserve">, </w:t>
      </w:r>
      <w:r w:rsidRPr="00022C03">
        <w:rPr>
          <w:rFonts w:asciiTheme="majorHAnsi" w:hAnsiTheme="majorHAnsi"/>
          <w:bCs/>
          <w:i/>
        </w:rPr>
        <w:t>Centre national des écritures du spectacle</w:t>
      </w:r>
      <w:r w:rsidRPr="00022C03">
        <w:rPr>
          <w:rFonts w:asciiTheme="majorHAnsi" w:hAnsiTheme="majorHAnsi"/>
        </w:rPr>
        <w:t xml:space="preserve"> à Villeneuve lez Avignon, propose aux auditeurs de l’UPA de prolonger la présentation assurée</w:t>
      </w:r>
      <w:r w:rsidR="0003460C" w:rsidRPr="00022C03">
        <w:rPr>
          <w:rFonts w:asciiTheme="majorHAnsi" w:hAnsiTheme="majorHAnsi"/>
        </w:rPr>
        <w:t xml:space="preserve"> à l’UPA le mardi 17 octobre 2017</w:t>
      </w:r>
      <w:r w:rsidRPr="00022C03">
        <w:rPr>
          <w:rFonts w:asciiTheme="majorHAnsi" w:hAnsiTheme="majorHAnsi"/>
        </w:rPr>
        <w:t xml:space="preserve"> par son Secrétaire Général, </w:t>
      </w:r>
      <w:r w:rsidRPr="00022C03">
        <w:rPr>
          <w:rFonts w:asciiTheme="majorHAnsi" w:hAnsiTheme="majorHAnsi"/>
          <w:b/>
        </w:rPr>
        <w:t xml:space="preserve">Quentin </w:t>
      </w:r>
      <w:proofErr w:type="spellStart"/>
      <w:r w:rsidRPr="00022C03">
        <w:rPr>
          <w:rFonts w:asciiTheme="majorHAnsi" w:hAnsiTheme="majorHAnsi"/>
          <w:b/>
          <w:bCs/>
        </w:rPr>
        <w:t>Carrissimo-Bertola</w:t>
      </w:r>
      <w:proofErr w:type="spellEnd"/>
      <w:r w:rsidR="0003460C" w:rsidRPr="00022C03">
        <w:rPr>
          <w:rFonts w:asciiTheme="majorHAnsi" w:hAnsiTheme="majorHAnsi"/>
          <w:bCs/>
        </w:rPr>
        <w:t xml:space="preserve">. </w:t>
      </w:r>
      <w:r w:rsidR="00903444" w:rsidRPr="00022C03">
        <w:rPr>
          <w:rFonts w:asciiTheme="majorHAnsi" w:hAnsiTheme="majorHAnsi"/>
          <w:bCs/>
        </w:rPr>
        <w:t xml:space="preserve">À cette occasion, </w:t>
      </w:r>
      <w:r w:rsidR="00CE19E7">
        <w:rPr>
          <w:rFonts w:asciiTheme="majorHAnsi" w:hAnsiTheme="majorHAnsi"/>
          <w:bCs/>
        </w:rPr>
        <w:t>Quentin</w:t>
      </w:r>
      <w:r w:rsidR="00903444" w:rsidRPr="00022C03">
        <w:rPr>
          <w:rFonts w:asciiTheme="majorHAnsi" w:hAnsiTheme="majorHAnsi"/>
          <w:bCs/>
        </w:rPr>
        <w:t xml:space="preserve"> </w:t>
      </w:r>
      <w:r w:rsidR="00A124CB">
        <w:rPr>
          <w:rFonts w:asciiTheme="majorHAnsi" w:hAnsiTheme="majorHAnsi"/>
          <w:bCs/>
        </w:rPr>
        <w:t>avait abordé la question</w:t>
      </w:r>
      <w:r w:rsidR="00903444" w:rsidRPr="00022C03">
        <w:rPr>
          <w:rFonts w:asciiTheme="majorHAnsi" w:hAnsiTheme="majorHAnsi"/>
          <w:bCs/>
        </w:rPr>
        <w:t xml:space="preserve"> du </w:t>
      </w:r>
      <w:r w:rsidR="00903444" w:rsidRPr="00022C03">
        <w:rPr>
          <w:rFonts w:asciiTheme="majorHAnsi" w:hAnsiTheme="majorHAnsi"/>
          <w:b/>
          <w:bCs/>
        </w:rPr>
        <w:t>corps dans les écritures dramatiques contemporaines</w:t>
      </w:r>
      <w:r w:rsidR="00903444" w:rsidRPr="00022C03">
        <w:rPr>
          <w:rFonts w:asciiTheme="majorHAnsi" w:hAnsiTheme="majorHAnsi"/>
          <w:bCs/>
        </w:rPr>
        <w:t xml:space="preserve"> en se basant</w:t>
      </w:r>
      <w:r w:rsidR="00E7632F">
        <w:rPr>
          <w:rFonts w:asciiTheme="majorHAnsi" w:hAnsiTheme="majorHAnsi"/>
          <w:bCs/>
        </w:rPr>
        <w:t xml:space="preserve"> essentiellement</w:t>
      </w:r>
      <w:r w:rsidR="00F33B0F">
        <w:rPr>
          <w:rFonts w:asciiTheme="majorHAnsi" w:hAnsiTheme="majorHAnsi"/>
          <w:bCs/>
        </w:rPr>
        <w:t xml:space="preserve"> </w:t>
      </w:r>
      <w:proofErr w:type="gramStart"/>
      <w:r w:rsidR="00F33B0F">
        <w:rPr>
          <w:rFonts w:asciiTheme="majorHAnsi" w:hAnsiTheme="majorHAnsi"/>
          <w:bCs/>
        </w:rPr>
        <w:t>sur</w:t>
      </w:r>
      <w:proofErr w:type="gramEnd"/>
      <w:r w:rsidR="00F33B0F">
        <w:rPr>
          <w:rFonts w:asciiTheme="majorHAnsi" w:hAnsiTheme="majorHAnsi"/>
          <w:bCs/>
        </w:rPr>
        <w:t xml:space="preserve"> les œuvres et les auteurs </w:t>
      </w:r>
      <w:r w:rsidR="00903444" w:rsidRPr="00022C03">
        <w:rPr>
          <w:rFonts w:asciiTheme="majorHAnsi" w:hAnsiTheme="majorHAnsi"/>
          <w:bCs/>
        </w:rPr>
        <w:t>qui ont bénéficié du soutien de la Chartreuse.</w:t>
      </w:r>
    </w:p>
    <w:p w14:paraId="1EBEFC76" w14:textId="77777777" w:rsidR="00F04CB6" w:rsidRDefault="00F04CB6" w:rsidP="005568F1">
      <w:pPr>
        <w:jc w:val="both"/>
        <w:rPr>
          <w:rFonts w:asciiTheme="majorHAnsi" w:hAnsiTheme="majorHAnsi"/>
          <w:bCs/>
        </w:rPr>
      </w:pPr>
    </w:p>
    <w:p w14:paraId="572592FB" w14:textId="1AA2B08B" w:rsidR="005568F1" w:rsidRPr="00022C03" w:rsidRDefault="005568F1" w:rsidP="005568F1">
      <w:pPr>
        <w:jc w:val="both"/>
        <w:rPr>
          <w:rFonts w:asciiTheme="majorHAnsi" w:hAnsiTheme="majorHAnsi"/>
          <w:bCs/>
        </w:rPr>
      </w:pPr>
      <w:r w:rsidRPr="00022C03">
        <w:rPr>
          <w:rFonts w:asciiTheme="majorHAnsi" w:hAnsiTheme="majorHAnsi"/>
        </w:rPr>
        <w:t xml:space="preserve">Aujourd’hui, la Chartreuse nous invite à </w:t>
      </w:r>
      <w:r w:rsidR="00E47BCA">
        <w:rPr>
          <w:rFonts w:asciiTheme="majorHAnsi" w:hAnsiTheme="majorHAnsi"/>
        </w:rPr>
        <w:t xml:space="preserve">poursuivre l’exploration de </w:t>
      </w:r>
      <w:r w:rsidR="00CD63C4">
        <w:rPr>
          <w:rFonts w:asciiTheme="majorHAnsi" w:hAnsiTheme="majorHAnsi"/>
        </w:rPr>
        <w:t>cette thématique</w:t>
      </w:r>
      <w:r w:rsidR="00E47BCA">
        <w:rPr>
          <w:rFonts w:asciiTheme="majorHAnsi" w:hAnsiTheme="majorHAnsi"/>
        </w:rPr>
        <w:t xml:space="preserve"> </w:t>
      </w:r>
      <w:r w:rsidR="009115CB">
        <w:rPr>
          <w:rFonts w:asciiTheme="majorHAnsi" w:hAnsiTheme="majorHAnsi"/>
        </w:rPr>
        <w:t>à trav</w:t>
      </w:r>
      <w:r w:rsidR="002E70C3">
        <w:rPr>
          <w:rFonts w:asciiTheme="majorHAnsi" w:hAnsiTheme="majorHAnsi"/>
        </w:rPr>
        <w:t>e</w:t>
      </w:r>
      <w:r w:rsidR="009115CB">
        <w:rPr>
          <w:rFonts w:asciiTheme="majorHAnsi" w:hAnsiTheme="majorHAnsi"/>
        </w:rPr>
        <w:t>rs</w:t>
      </w:r>
      <w:r w:rsidRPr="00022C03">
        <w:rPr>
          <w:rFonts w:asciiTheme="majorHAnsi" w:hAnsiTheme="majorHAnsi"/>
        </w:rPr>
        <w:t xml:space="preserve"> la </w:t>
      </w:r>
      <w:r w:rsidRPr="00833BBB">
        <w:rPr>
          <w:rFonts w:asciiTheme="majorHAnsi" w:hAnsiTheme="majorHAnsi"/>
          <w:b/>
        </w:rPr>
        <w:t xml:space="preserve">présentation de la </w:t>
      </w:r>
      <w:r w:rsidR="0092158B">
        <w:rPr>
          <w:rFonts w:asciiTheme="majorHAnsi" w:hAnsiTheme="majorHAnsi"/>
          <w:b/>
        </w:rPr>
        <w:t>“</w:t>
      </w:r>
      <w:r w:rsidRPr="00833BBB">
        <w:rPr>
          <w:rFonts w:asciiTheme="majorHAnsi" w:hAnsiTheme="majorHAnsi"/>
          <w:b/>
        </w:rPr>
        <w:t>maquette</w:t>
      </w:r>
      <w:r w:rsidR="00E54A84">
        <w:rPr>
          <w:rStyle w:val="Marquenotebasdepage"/>
          <w:rFonts w:asciiTheme="majorHAnsi" w:hAnsiTheme="majorHAnsi"/>
          <w:b/>
        </w:rPr>
        <w:footnoteReference w:id="1"/>
      </w:r>
      <w:r w:rsidR="0092158B">
        <w:rPr>
          <w:rFonts w:asciiTheme="majorHAnsi" w:hAnsiTheme="majorHAnsi"/>
          <w:b/>
        </w:rPr>
        <w:t>“</w:t>
      </w:r>
      <w:r w:rsidRPr="00833BBB">
        <w:rPr>
          <w:rFonts w:asciiTheme="majorHAnsi" w:hAnsiTheme="majorHAnsi"/>
          <w:b/>
        </w:rPr>
        <w:t xml:space="preserve"> du spectacle </w:t>
      </w:r>
      <w:r w:rsidRPr="007A52A4">
        <w:rPr>
          <w:rFonts w:asciiTheme="majorHAnsi" w:hAnsiTheme="majorHAnsi"/>
          <w:b/>
          <w:bCs/>
          <w:i/>
          <w:color w:val="0000FF"/>
        </w:rPr>
        <w:t>Jacob, Jacob</w:t>
      </w:r>
      <w:r w:rsidRPr="00022C03">
        <w:rPr>
          <w:rFonts w:asciiTheme="majorHAnsi" w:hAnsiTheme="majorHAnsi"/>
          <w:bCs/>
        </w:rPr>
        <w:t xml:space="preserve"> </w:t>
      </w:r>
      <w:r w:rsidR="007A52A4" w:rsidRPr="00CD6EB4">
        <w:rPr>
          <w:rFonts w:asciiTheme="majorHAnsi" w:hAnsiTheme="majorHAnsi"/>
          <w:bCs/>
        </w:rPr>
        <w:t xml:space="preserve">d’après l’adaptation du roman éponyme de Valérie </w:t>
      </w:r>
      <w:proofErr w:type="spellStart"/>
      <w:r w:rsidR="007A52A4" w:rsidRPr="00CD6EB4">
        <w:rPr>
          <w:rFonts w:asciiTheme="majorHAnsi" w:hAnsiTheme="majorHAnsi"/>
          <w:bCs/>
        </w:rPr>
        <w:t>Zenatti</w:t>
      </w:r>
      <w:proofErr w:type="spellEnd"/>
      <w:r w:rsidR="003C46A1" w:rsidRPr="00022C03">
        <w:rPr>
          <w:rStyle w:val="Marquenotebasdepage"/>
          <w:rFonts w:asciiTheme="majorHAnsi" w:hAnsiTheme="majorHAnsi"/>
        </w:rPr>
        <w:footnoteReference w:id="2"/>
      </w:r>
      <w:r w:rsidR="007A52A4">
        <w:rPr>
          <w:rFonts w:asciiTheme="majorHAnsi" w:hAnsiTheme="majorHAnsi"/>
          <w:bCs/>
        </w:rPr>
        <w:t xml:space="preserve">. </w:t>
      </w:r>
      <w:r w:rsidR="007A52A4" w:rsidRPr="007A52A4">
        <w:rPr>
          <w:rFonts w:asciiTheme="majorHAnsi" w:hAnsiTheme="majorHAnsi"/>
          <w:bCs/>
        </w:rPr>
        <w:t xml:space="preserve">Vous êtes invités à y assister dans la </w:t>
      </w:r>
      <w:r w:rsidR="007A52A4" w:rsidRPr="00ED0D7A">
        <w:rPr>
          <w:rFonts w:asciiTheme="majorHAnsi" w:hAnsiTheme="majorHAnsi"/>
          <w:b/>
          <w:bCs/>
        </w:rPr>
        <w:t xml:space="preserve">salle du </w:t>
      </w:r>
      <w:proofErr w:type="spellStart"/>
      <w:r w:rsidR="007A52A4" w:rsidRPr="00ED0D7A">
        <w:rPr>
          <w:rFonts w:asciiTheme="majorHAnsi" w:hAnsiTheme="majorHAnsi"/>
          <w:b/>
          <w:bCs/>
        </w:rPr>
        <w:t>Tinel</w:t>
      </w:r>
      <w:proofErr w:type="spellEnd"/>
      <w:r w:rsidR="007A52A4" w:rsidRPr="00ED0D7A">
        <w:rPr>
          <w:rFonts w:asciiTheme="majorHAnsi" w:hAnsiTheme="majorHAnsi"/>
          <w:b/>
          <w:bCs/>
        </w:rPr>
        <w:t xml:space="preserve"> de la Chartreuse mercredi 11 avril 2018 à 18h</w:t>
      </w:r>
      <w:r w:rsidR="004C4B29" w:rsidRPr="00022C03">
        <w:rPr>
          <w:rStyle w:val="Marquenotebasdepage"/>
          <w:rFonts w:asciiTheme="majorHAnsi" w:hAnsiTheme="majorHAnsi"/>
          <w:bCs/>
        </w:rPr>
        <w:footnoteReference w:id="3"/>
      </w:r>
      <w:r w:rsidR="007A52A4" w:rsidRPr="007A52A4">
        <w:rPr>
          <w:rFonts w:asciiTheme="majorHAnsi" w:hAnsiTheme="majorHAnsi"/>
          <w:bCs/>
        </w:rPr>
        <w:t>.</w:t>
      </w:r>
    </w:p>
    <w:p w14:paraId="66F36135" w14:textId="77777777" w:rsidR="005568F1" w:rsidRDefault="005568F1" w:rsidP="005568F1">
      <w:pPr>
        <w:jc w:val="both"/>
        <w:rPr>
          <w:rFonts w:asciiTheme="majorHAnsi" w:hAnsiTheme="majorHAnsi"/>
          <w:bCs/>
        </w:rPr>
      </w:pPr>
    </w:p>
    <w:p w14:paraId="35C556D0" w14:textId="0553F31C" w:rsidR="0024571A" w:rsidRPr="0024571A" w:rsidRDefault="0024571A" w:rsidP="0024571A">
      <w:pPr>
        <w:jc w:val="both"/>
        <w:rPr>
          <w:rFonts w:asciiTheme="majorHAnsi" w:hAnsiTheme="majorHAnsi"/>
          <w:bCs/>
        </w:rPr>
      </w:pPr>
      <w:r w:rsidRPr="0024571A">
        <w:rPr>
          <w:rFonts w:asciiTheme="majorHAnsi" w:hAnsiTheme="majorHAnsi"/>
          <w:bCs/>
        </w:rPr>
        <w:t xml:space="preserve">Ce projet, en cours de création par </w:t>
      </w:r>
      <w:proofErr w:type="spellStart"/>
      <w:r w:rsidRPr="0024571A">
        <w:rPr>
          <w:rFonts w:asciiTheme="majorHAnsi" w:hAnsiTheme="majorHAnsi"/>
          <w:bCs/>
        </w:rPr>
        <w:t>Dyssia</w:t>
      </w:r>
      <w:proofErr w:type="spellEnd"/>
      <w:r w:rsidRPr="0024571A">
        <w:rPr>
          <w:rFonts w:asciiTheme="majorHAnsi" w:hAnsiTheme="majorHAnsi"/>
          <w:bCs/>
        </w:rPr>
        <w:t xml:space="preserve"> </w:t>
      </w:r>
      <w:proofErr w:type="spellStart"/>
      <w:r w:rsidRPr="0024571A">
        <w:rPr>
          <w:rFonts w:asciiTheme="majorHAnsi" w:hAnsiTheme="majorHAnsi"/>
          <w:bCs/>
        </w:rPr>
        <w:t>Loubatière</w:t>
      </w:r>
      <w:proofErr w:type="spellEnd"/>
      <w:r w:rsidRPr="0024571A">
        <w:rPr>
          <w:rFonts w:asciiTheme="majorHAnsi" w:hAnsiTheme="majorHAnsi"/>
          <w:bCs/>
        </w:rPr>
        <w:t xml:space="preserve"> et L’Entêtement Amoureux – Compagnie Didier </w:t>
      </w:r>
      <w:proofErr w:type="spellStart"/>
      <w:r w:rsidRPr="0024571A">
        <w:rPr>
          <w:rFonts w:asciiTheme="majorHAnsi" w:hAnsiTheme="majorHAnsi"/>
          <w:bCs/>
        </w:rPr>
        <w:t>Bezace</w:t>
      </w:r>
      <w:proofErr w:type="spellEnd"/>
      <w:r w:rsidRPr="0024571A">
        <w:rPr>
          <w:rFonts w:asciiTheme="majorHAnsi" w:hAnsiTheme="majorHAnsi"/>
          <w:bCs/>
        </w:rPr>
        <w:t>, est accueilli en résidence de répétition à la Chartreuse du 26 mars au 12 avril</w:t>
      </w:r>
      <w:r w:rsidR="00F27C0B">
        <w:rPr>
          <w:rFonts w:asciiTheme="majorHAnsi" w:hAnsiTheme="majorHAnsi"/>
          <w:bCs/>
        </w:rPr>
        <w:t xml:space="preserve"> 2018</w:t>
      </w:r>
      <w:r w:rsidRPr="0024571A">
        <w:rPr>
          <w:rFonts w:asciiTheme="majorHAnsi" w:hAnsiTheme="majorHAnsi"/>
          <w:bCs/>
        </w:rPr>
        <w:t>. Il met en scène l’histoire d’une femme qui attend le retour de son fils de la guerre. Mais ce dernier ne revient pas — ni vivant, ni mort, pas même son corps, rien. Pour cette femme, l’absence de tout (et notamment du corps de son fils) rend impossible/difficile le deuil et l’acceptation…</w:t>
      </w:r>
    </w:p>
    <w:p w14:paraId="6EA04319" w14:textId="77777777" w:rsidR="0024571A" w:rsidRPr="0024571A" w:rsidRDefault="0024571A" w:rsidP="0024571A">
      <w:pPr>
        <w:jc w:val="both"/>
        <w:rPr>
          <w:rFonts w:asciiTheme="majorHAnsi" w:hAnsiTheme="majorHAnsi"/>
          <w:bCs/>
        </w:rPr>
      </w:pPr>
    </w:p>
    <w:p w14:paraId="0EB33C4A" w14:textId="1B1CC1C2" w:rsidR="009048FB" w:rsidRPr="00022C03" w:rsidRDefault="0024571A" w:rsidP="0046729B">
      <w:pPr>
        <w:jc w:val="both"/>
        <w:rPr>
          <w:rFonts w:asciiTheme="majorHAnsi" w:hAnsiTheme="majorHAnsi"/>
          <w:bCs/>
        </w:rPr>
      </w:pPr>
      <w:r w:rsidRPr="0024571A">
        <w:rPr>
          <w:rFonts w:asciiTheme="majorHAnsi" w:hAnsiTheme="majorHAnsi"/>
          <w:bCs/>
        </w:rPr>
        <w:t xml:space="preserve">La présentation de cette maquette de spectacle est ouverte à tous, gratuitement, mais il faut impérativement réserver à l’avance. </w:t>
      </w:r>
      <w:r w:rsidR="000055B6">
        <w:rPr>
          <w:rFonts w:asciiTheme="majorHAnsi" w:hAnsiTheme="majorHAnsi"/>
          <w:b/>
          <w:bCs/>
        </w:rPr>
        <w:t>V</w:t>
      </w:r>
      <w:r w:rsidRPr="00EF3638">
        <w:rPr>
          <w:rFonts w:asciiTheme="majorHAnsi" w:hAnsiTheme="majorHAnsi"/>
          <w:b/>
          <w:bCs/>
        </w:rPr>
        <w:t>ous pouvez vous inscrire directement auprès de Roland, Joëlle et Hélène lors des séances de cours des 13 et 20 mars prochains</w:t>
      </w:r>
      <w:r w:rsidRPr="0024571A">
        <w:rPr>
          <w:rFonts w:asciiTheme="majorHAnsi" w:hAnsiTheme="majorHAnsi"/>
          <w:bCs/>
        </w:rPr>
        <w:t>.</w:t>
      </w:r>
    </w:p>
    <w:sectPr w:rsidR="009048FB" w:rsidRPr="00022C03" w:rsidSect="00C3768F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5541D" w14:textId="77777777" w:rsidR="00970E06" w:rsidRDefault="00970E06" w:rsidP="003C62E2">
      <w:r>
        <w:separator/>
      </w:r>
    </w:p>
  </w:endnote>
  <w:endnote w:type="continuationSeparator" w:id="0">
    <w:p w14:paraId="29CCC910" w14:textId="77777777" w:rsidR="00970E06" w:rsidRDefault="00970E06" w:rsidP="003C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2D283" w14:textId="77777777" w:rsidR="00970E06" w:rsidRDefault="00970E06" w:rsidP="003C62E2">
      <w:r>
        <w:separator/>
      </w:r>
    </w:p>
  </w:footnote>
  <w:footnote w:type="continuationSeparator" w:id="0">
    <w:p w14:paraId="7CDC4450" w14:textId="77777777" w:rsidR="00970E06" w:rsidRDefault="00970E06" w:rsidP="003C62E2">
      <w:r>
        <w:continuationSeparator/>
      </w:r>
    </w:p>
  </w:footnote>
  <w:footnote w:id="1">
    <w:p w14:paraId="72E09C69" w14:textId="1F4519F3" w:rsidR="00E54A84" w:rsidRPr="00E54A84" w:rsidRDefault="00E54A84" w:rsidP="00E54A84">
      <w:pPr>
        <w:pStyle w:val="Notedebasdepage"/>
        <w:jc w:val="both"/>
        <w:rPr>
          <w:rFonts w:asciiTheme="majorHAnsi" w:hAnsiTheme="majorHAnsi"/>
        </w:rPr>
      </w:pPr>
      <w:r w:rsidRPr="00E54A84">
        <w:rPr>
          <w:rStyle w:val="Marquenotebasdepage"/>
          <w:rFonts w:asciiTheme="majorHAnsi" w:hAnsiTheme="majorHAnsi"/>
        </w:rPr>
        <w:footnoteRef/>
      </w:r>
      <w:r w:rsidRPr="00E54A84">
        <w:rPr>
          <w:rFonts w:asciiTheme="majorHAnsi" w:hAnsiTheme="majorHAnsi"/>
        </w:rPr>
        <w:t xml:space="preserve"> Il s’agit du même type de proposition que celle </w:t>
      </w:r>
      <w:r w:rsidR="00915176">
        <w:rPr>
          <w:rFonts w:asciiTheme="majorHAnsi" w:hAnsiTheme="majorHAnsi"/>
        </w:rPr>
        <w:t>à laquelle nous avons été associés</w:t>
      </w:r>
      <w:r w:rsidRPr="00E54A84">
        <w:rPr>
          <w:rFonts w:asciiTheme="majorHAnsi" w:hAnsiTheme="majorHAnsi"/>
        </w:rPr>
        <w:t xml:space="preserve"> l’an dernier pour la pièce </w:t>
      </w:r>
      <w:r w:rsidRPr="00E54A84">
        <w:rPr>
          <w:rFonts w:asciiTheme="majorHAnsi" w:hAnsiTheme="majorHAnsi"/>
          <w:i/>
        </w:rPr>
        <w:t>Vertiges</w:t>
      </w:r>
      <w:r w:rsidRPr="00E54A84">
        <w:rPr>
          <w:rFonts w:asciiTheme="majorHAnsi" w:hAnsiTheme="majorHAnsi"/>
        </w:rPr>
        <w:t xml:space="preserve"> (de Nasser </w:t>
      </w:r>
      <w:proofErr w:type="spellStart"/>
      <w:r w:rsidRPr="00E54A84">
        <w:rPr>
          <w:rFonts w:asciiTheme="majorHAnsi" w:hAnsiTheme="majorHAnsi"/>
        </w:rPr>
        <w:t>Djemaï</w:t>
      </w:r>
      <w:proofErr w:type="spellEnd"/>
      <w:r w:rsidRPr="00E54A84">
        <w:rPr>
          <w:rFonts w:asciiTheme="majorHAnsi" w:hAnsiTheme="majorHAnsi"/>
        </w:rPr>
        <w:t>)</w:t>
      </w:r>
      <w:r w:rsidR="00CD49F1">
        <w:rPr>
          <w:rFonts w:asciiTheme="majorHAnsi" w:hAnsiTheme="majorHAnsi"/>
        </w:rPr>
        <w:t> : l</w:t>
      </w:r>
      <w:r w:rsidRPr="00E54A84">
        <w:rPr>
          <w:rFonts w:asciiTheme="majorHAnsi" w:hAnsiTheme="majorHAnsi"/>
        </w:rPr>
        <w:t>e spectacle ne sera pas joué en entier</w:t>
      </w:r>
      <w:r w:rsidR="00AC4E21">
        <w:rPr>
          <w:rFonts w:asciiTheme="majorHAnsi" w:hAnsiTheme="majorHAnsi"/>
        </w:rPr>
        <w:t xml:space="preserve"> (car il n’est </w:t>
      </w:r>
      <w:r w:rsidR="00B90766">
        <w:rPr>
          <w:rFonts w:asciiTheme="majorHAnsi" w:hAnsiTheme="majorHAnsi"/>
        </w:rPr>
        <w:t xml:space="preserve">encore </w:t>
      </w:r>
      <w:r w:rsidR="00AC4E21">
        <w:rPr>
          <w:rFonts w:asciiTheme="majorHAnsi" w:hAnsiTheme="majorHAnsi"/>
        </w:rPr>
        <w:t>qu’en cours de réalisation)</w:t>
      </w:r>
      <w:r w:rsidRPr="00E54A84">
        <w:rPr>
          <w:rFonts w:asciiTheme="majorHAnsi" w:hAnsiTheme="majorHAnsi"/>
        </w:rPr>
        <w:t xml:space="preserve"> mais plusieurs scènes seront interprétées.</w:t>
      </w:r>
    </w:p>
  </w:footnote>
  <w:footnote w:id="2">
    <w:p w14:paraId="6D18D04A" w14:textId="77777777" w:rsidR="003C46A1" w:rsidRDefault="003C46A1" w:rsidP="003C46A1">
      <w:pPr>
        <w:pStyle w:val="Notedebasdepage"/>
        <w:jc w:val="both"/>
      </w:pPr>
      <w:r w:rsidRPr="00E54A84">
        <w:rPr>
          <w:rStyle w:val="Marquenotebasdepage"/>
          <w:rFonts w:asciiTheme="majorHAnsi" w:hAnsiTheme="majorHAnsi"/>
        </w:rPr>
        <w:footnoteRef/>
      </w:r>
      <w:r w:rsidRPr="00E54A84">
        <w:rPr>
          <w:rFonts w:asciiTheme="majorHAnsi" w:hAnsiTheme="majorHAnsi"/>
        </w:rPr>
        <w:t xml:space="preserve"> </w:t>
      </w:r>
      <w:r w:rsidRPr="00E54A84">
        <w:rPr>
          <w:rFonts w:asciiTheme="majorHAnsi" w:hAnsiTheme="majorHAnsi"/>
          <w:i/>
          <w:iCs/>
        </w:rPr>
        <w:t xml:space="preserve">Jacob, Jacob </w:t>
      </w:r>
      <w:r w:rsidRPr="00E54A84">
        <w:rPr>
          <w:rFonts w:asciiTheme="majorHAnsi" w:hAnsiTheme="majorHAnsi"/>
        </w:rPr>
        <w:t xml:space="preserve">de Valérie </w:t>
      </w:r>
      <w:proofErr w:type="spellStart"/>
      <w:r w:rsidRPr="00E54A84">
        <w:rPr>
          <w:rFonts w:asciiTheme="majorHAnsi" w:hAnsiTheme="majorHAnsi"/>
        </w:rPr>
        <w:t>Zenatti</w:t>
      </w:r>
      <w:proofErr w:type="spellEnd"/>
      <w:r w:rsidRPr="00E54A84">
        <w:rPr>
          <w:rFonts w:asciiTheme="majorHAnsi" w:hAnsiTheme="majorHAnsi"/>
        </w:rPr>
        <w:t>, Éditions de l’Olivier, 2011, prix du Livre Inter 2015.</w:t>
      </w:r>
    </w:p>
  </w:footnote>
  <w:footnote w:id="3">
    <w:p w14:paraId="6E5B7905" w14:textId="77777777" w:rsidR="004C4B29" w:rsidRPr="00E54A84" w:rsidRDefault="004C4B29" w:rsidP="004C4B29">
      <w:pPr>
        <w:pStyle w:val="Notedebasdepage"/>
        <w:jc w:val="both"/>
        <w:rPr>
          <w:rFonts w:asciiTheme="majorHAnsi" w:hAnsiTheme="majorHAnsi"/>
        </w:rPr>
      </w:pPr>
      <w:r w:rsidRPr="00E54A84">
        <w:rPr>
          <w:rStyle w:val="Marquenotebasdepage"/>
          <w:rFonts w:asciiTheme="majorHAnsi" w:hAnsiTheme="majorHAnsi"/>
        </w:rPr>
        <w:footnoteRef/>
      </w:r>
      <w:r w:rsidRPr="00E54A84">
        <w:rPr>
          <w:rFonts w:asciiTheme="majorHAnsi" w:hAnsiTheme="majorHAnsi"/>
        </w:rPr>
        <w:t xml:space="preserve"> Plus d’informations sur ce spectacle en cours de réalisation sur le site de la Chartreuse : </w:t>
      </w:r>
      <w:hyperlink r:id="rId1" w:history="1">
        <w:r w:rsidRPr="00E54A84">
          <w:rPr>
            <w:rStyle w:val="Lienhypertexte"/>
            <w:rFonts w:asciiTheme="majorHAnsi" w:hAnsiTheme="majorHAnsi"/>
          </w:rPr>
          <w:t>https://chartreuse.org/site/jacob-jacob-0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9B"/>
    <w:rsid w:val="000055B6"/>
    <w:rsid w:val="00022C03"/>
    <w:rsid w:val="0002648A"/>
    <w:rsid w:val="0003460C"/>
    <w:rsid w:val="00107BB2"/>
    <w:rsid w:val="0018175F"/>
    <w:rsid w:val="00191AB4"/>
    <w:rsid w:val="001B07C5"/>
    <w:rsid w:val="001C0CFF"/>
    <w:rsid w:val="001C18CA"/>
    <w:rsid w:val="002030D2"/>
    <w:rsid w:val="002117BB"/>
    <w:rsid w:val="0024571A"/>
    <w:rsid w:val="002A5DF4"/>
    <w:rsid w:val="002E70C3"/>
    <w:rsid w:val="003502BE"/>
    <w:rsid w:val="003A7C86"/>
    <w:rsid w:val="003C46A1"/>
    <w:rsid w:val="003C62E2"/>
    <w:rsid w:val="00425FA9"/>
    <w:rsid w:val="00445B04"/>
    <w:rsid w:val="0046729B"/>
    <w:rsid w:val="004C4B29"/>
    <w:rsid w:val="004D10C2"/>
    <w:rsid w:val="004E6345"/>
    <w:rsid w:val="00551355"/>
    <w:rsid w:val="005568F1"/>
    <w:rsid w:val="00565E4C"/>
    <w:rsid w:val="00571DE9"/>
    <w:rsid w:val="0059148D"/>
    <w:rsid w:val="005A1A43"/>
    <w:rsid w:val="005C3830"/>
    <w:rsid w:val="005E24CB"/>
    <w:rsid w:val="006615B7"/>
    <w:rsid w:val="006929C2"/>
    <w:rsid w:val="0070205E"/>
    <w:rsid w:val="007978BC"/>
    <w:rsid w:val="007A52A4"/>
    <w:rsid w:val="007D223E"/>
    <w:rsid w:val="007F7409"/>
    <w:rsid w:val="00833BBB"/>
    <w:rsid w:val="008425DB"/>
    <w:rsid w:val="008D3400"/>
    <w:rsid w:val="00903444"/>
    <w:rsid w:val="009048FB"/>
    <w:rsid w:val="0090505C"/>
    <w:rsid w:val="009115CB"/>
    <w:rsid w:val="00915176"/>
    <w:rsid w:val="0092158B"/>
    <w:rsid w:val="00946790"/>
    <w:rsid w:val="00970E06"/>
    <w:rsid w:val="009C0B5C"/>
    <w:rsid w:val="00A01D42"/>
    <w:rsid w:val="00A124CB"/>
    <w:rsid w:val="00A81C02"/>
    <w:rsid w:val="00AA1900"/>
    <w:rsid w:val="00AC0A54"/>
    <w:rsid w:val="00AC4E21"/>
    <w:rsid w:val="00AC7F31"/>
    <w:rsid w:val="00AD6440"/>
    <w:rsid w:val="00B90766"/>
    <w:rsid w:val="00B94E04"/>
    <w:rsid w:val="00C03725"/>
    <w:rsid w:val="00C3768F"/>
    <w:rsid w:val="00CD49F1"/>
    <w:rsid w:val="00CD63C4"/>
    <w:rsid w:val="00CE19E7"/>
    <w:rsid w:val="00CE497F"/>
    <w:rsid w:val="00D20A9B"/>
    <w:rsid w:val="00E47BCA"/>
    <w:rsid w:val="00E54A84"/>
    <w:rsid w:val="00E7632F"/>
    <w:rsid w:val="00ED0D7A"/>
    <w:rsid w:val="00EF3638"/>
    <w:rsid w:val="00F04CB6"/>
    <w:rsid w:val="00F27C0B"/>
    <w:rsid w:val="00F33B0F"/>
    <w:rsid w:val="00F724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AA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68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340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400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5568F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3C62E2"/>
  </w:style>
  <w:style w:type="character" w:customStyle="1" w:styleId="NotedebasdepageCar">
    <w:name w:val="Note de bas de page Car"/>
    <w:basedOn w:val="Policepardfaut"/>
    <w:link w:val="Notedebasdepage"/>
    <w:uiPriority w:val="99"/>
    <w:rsid w:val="003C62E2"/>
  </w:style>
  <w:style w:type="character" w:styleId="Marquenotebasdepage">
    <w:name w:val="footnote reference"/>
    <w:basedOn w:val="Policepardfaut"/>
    <w:uiPriority w:val="99"/>
    <w:unhideWhenUsed/>
    <w:rsid w:val="003C62E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B07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68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340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400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5568F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3C62E2"/>
  </w:style>
  <w:style w:type="character" w:customStyle="1" w:styleId="NotedebasdepageCar">
    <w:name w:val="Note de bas de page Car"/>
    <w:basedOn w:val="Policepardfaut"/>
    <w:link w:val="Notedebasdepage"/>
    <w:uiPriority w:val="99"/>
    <w:rsid w:val="003C62E2"/>
  </w:style>
  <w:style w:type="character" w:styleId="Marquenotebasdepage">
    <w:name w:val="footnote reference"/>
    <w:basedOn w:val="Policepardfaut"/>
    <w:uiPriority w:val="99"/>
    <w:unhideWhenUsed/>
    <w:rsid w:val="003C62E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B07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hartreuse.org/site/jacob-jacob-0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1380</Characters>
  <Application>Microsoft Macintosh Word</Application>
  <DocSecurity>0</DocSecurity>
  <Lines>11</Lines>
  <Paragraphs>3</Paragraphs>
  <ScaleCrop>false</ScaleCrop>
  <Company>Université d'Avignon et des Pays de Vaucluse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Jean-Robert ALCARAS</dc:creator>
  <cp:keywords/>
  <dc:description/>
  <cp:lastModifiedBy>Hélène ALCARAS</cp:lastModifiedBy>
  <cp:revision>2</cp:revision>
  <dcterms:created xsi:type="dcterms:W3CDTF">2018-03-09T09:18:00Z</dcterms:created>
  <dcterms:modified xsi:type="dcterms:W3CDTF">2018-03-09T09:18:00Z</dcterms:modified>
</cp:coreProperties>
</file>