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0" w:rsidRDefault="00912A28">
      <w:pPr>
        <w:jc w:val="center"/>
        <w:rPr>
          <w:sz w:val="30"/>
          <w:szCs w:val="30"/>
          <w:lang w:val="fr-FR"/>
        </w:rPr>
      </w:pPr>
      <w:bookmarkStart w:id="0" w:name="_GoBack"/>
      <w:bookmarkEnd w:id="0"/>
      <w:r>
        <w:rPr>
          <w:sz w:val="30"/>
          <w:szCs w:val="30"/>
          <w:lang w:val="fr-FR"/>
        </w:rPr>
        <w:t>DES CORPS ET DES ORDRES</w:t>
      </w:r>
    </w:p>
    <w:p w:rsidR="00501960" w:rsidRDefault="00912A28">
      <w:pPr>
        <w:jc w:val="center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Réflexions autour de quelques représentations artistiques du corps humain</w:t>
      </w:r>
    </w:p>
    <w:p w:rsidR="00501960" w:rsidRDefault="00501960">
      <w:pPr>
        <w:jc w:val="both"/>
        <w:rPr>
          <w:sz w:val="30"/>
          <w:szCs w:val="30"/>
          <w:lang w:val="fr-FR"/>
        </w:rPr>
      </w:pPr>
    </w:p>
    <w:p w:rsidR="00501960" w:rsidRDefault="00501960">
      <w:pPr>
        <w:jc w:val="both"/>
        <w:rPr>
          <w:sz w:val="30"/>
          <w:szCs w:val="30"/>
          <w:lang w:val="fr-FR"/>
        </w:rPr>
      </w:pP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ab/>
        <w:t>Le corps humain a fait l'objet de représentations artistiques depuis les temps les plus anciens et il constitue un motif récurrent dans l'</w:t>
      </w:r>
      <w:r>
        <w:rPr>
          <w:sz w:val="30"/>
          <w:szCs w:val="30"/>
          <w:lang w:val="fr-FR"/>
        </w:rPr>
        <w:t xml:space="preserve">art occidental. Toutefois, au fil des siècles, ce corps a épousé bien des formes – formes souvent induites par l'usage de règles, d'ordres, de canons de proportions. Dans un premier temps, je vous propose d'en explorer l'histoire, depuis l’Égypte ancienne </w:t>
      </w:r>
      <w:r>
        <w:rPr>
          <w:sz w:val="30"/>
          <w:szCs w:val="30"/>
          <w:lang w:val="fr-FR"/>
        </w:rPr>
        <w:t xml:space="preserve">jusqu'à la Renaissance. </w:t>
      </w: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ab/>
        <w:t>Après quoi, en examinant quelques œuvres issues de ces mêmes périodes – des œuvres qui, rappelons-le, ont été produites sur ordre, sur commande –  nous nous demanderons si l'usage des canons a servi à différencier l'aspect des cor</w:t>
      </w:r>
      <w:r>
        <w:rPr>
          <w:sz w:val="30"/>
          <w:szCs w:val="30"/>
          <w:lang w:val="fr-FR"/>
        </w:rPr>
        <w:t xml:space="preserve">ps d'êtres humains en fonction de leur appartenance à tel ou tel ordre social. </w:t>
      </w:r>
    </w:p>
    <w:p w:rsidR="00501960" w:rsidRDefault="00501960">
      <w:pPr>
        <w:jc w:val="both"/>
        <w:rPr>
          <w:sz w:val="30"/>
          <w:szCs w:val="30"/>
          <w:lang w:val="fr-FR"/>
        </w:rPr>
      </w:pP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ab/>
        <w:t>L'exposé est scindé en deux parties:</w:t>
      </w:r>
    </w:p>
    <w:p w:rsidR="00501960" w:rsidRDefault="00501960">
      <w:pPr>
        <w:jc w:val="both"/>
        <w:rPr>
          <w:sz w:val="30"/>
          <w:szCs w:val="30"/>
          <w:lang w:val="fr-FR"/>
        </w:rPr>
      </w:pP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I- Ordres et canons: brève histoire de la théorie des proportions humaines</w:t>
      </w: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II- Canons – ordres et ordres sociaux</w:t>
      </w:r>
    </w:p>
    <w:p w:rsidR="00501960" w:rsidRDefault="00501960">
      <w:pPr>
        <w:jc w:val="both"/>
        <w:rPr>
          <w:sz w:val="30"/>
          <w:szCs w:val="30"/>
          <w:lang w:val="fr-FR"/>
        </w:rPr>
      </w:pPr>
    </w:p>
    <w:p w:rsidR="00501960" w:rsidRDefault="00912A28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ab/>
        <w:t>Chacune des parties s</w:t>
      </w:r>
      <w:r>
        <w:rPr>
          <w:sz w:val="30"/>
          <w:szCs w:val="30"/>
          <w:lang w:val="fr-FR"/>
        </w:rPr>
        <w:t>ervant de prétexte à présenter une ou des méthodes d'écriture de l'histoire de l'art.</w:t>
      </w:r>
    </w:p>
    <w:p w:rsidR="00501960" w:rsidRDefault="00501960">
      <w:pPr>
        <w:jc w:val="both"/>
        <w:rPr>
          <w:b/>
          <w:bCs/>
          <w:sz w:val="28"/>
          <w:szCs w:val="28"/>
          <w:lang w:val="fr-FR"/>
        </w:rPr>
      </w:pPr>
    </w:p>
    <w:p w:rsidR="00501960" w:rsidRDefault="00912A28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Quelques livres:</w:t>
      </w:r>
    </w:p>
    <w:p w:rsidR="00501960" w:rsidRDefault="00501960">
      <w:pPr>
        <w:jc w:val="both"/>
        <w:rPr>
          <w:b/>
          <w:bCs/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ARASSE Daniel, </w:t>
      </w:r>
      <w:r>
        <w:rPr>
          <w:i/>
          <w:iCs/>
          <w:sz w:val="28"/>
          <w:szCs w:val="28"/>
          <w:lang w:val="fr-FR"/>
        </w:rPr>
        <w:t>Léonard de Vinci – Le rythme du monde</w:t>
      </w:r>
      <w:r>
        <w:rPr>
          <w:sz w:val="28"/>
          <w:szCs w:val="28"/>
          <w:lang w:val="fr-FR"/>
        </w:rPr>
        <w:t>, Paris, Hazan, 1997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BARBILLON Claire,</w:t>
      </w:r>
      <w:r>
        <w:rPr>
          <w:i/>
          <w:iCs/>
          <w:sz w:val="28"/>
          <w:szCs w:val="28"/>
          <w:lang w:val="fr-FR"/>
        </w:rPr>
        <w:t xml:space="preserve"> Les canons du corps humain au XIXe siècle – L'art et la règ</w:t>
      </w:r>
      <w:r>
        <w:rPr>
          <w:i/>
          <w:iCs/>
          <w:sz w:val="28"/>
          <w:szCs w:val="28"/>
          <w:lang w:val="fr-FR"/>
        </w:rPr>
        <w:t>l</w:t>
      </w:r>
      <w:r>
        <w:rPr>
          <w:sz w:val="28"/>
          <w:szCs w:val="28"/>
          <w:lang w:val="fr-FR"/>
        </w:rPr>
        <w:t>e, Paris, Odile Jacob, 2004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COLLECTIF,</w:t>
      </w:r>
      <w:r>
        <w:rPr>
          <w:i/>
          <w:iCs/>
          <w:sz w:val="28"/>
          <w:szCs w:val="28"/>
          <w:lang w:val="fr-FR"/>
        </w:rPr>
        <w:t xml:space="preserve"> Le corps et ses fictions</w:t>
      </w:r>
      <w:r>
        <w:rPr>
          <w:sz w:val="28"/>
          <w:szCs w:val="28"/>
          <w:lang w:val="fr-FR"/>
        </w:rPr>
        <w:t>, Paris, Les Éditions de Minuit, 1983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COURRENT Mireille, «Le corps humain, référence et modèle» dans Le </w:t>
      </w:r>
      <w:r>
        <w:rPr>
          <w:i/>
          <w:iCs/>
          <w:sz w:val="28"/>
          <w:szCs w:val="28"/>
          <w:lang w:val="fr-FR"/>
        </w:rPr>
        <w:t>De Architectura</w:t>
      </w:r>
      <w:r>
        <w:rPr>
          <w:sz w:val="28"/>
          <w:szCs w:val="28"/>
          <w:lang w:val="fr-FR"/>
        </w:rPr>
        <w:t xml:space="preserve"> de Vitruve" dans </w:t>
      </w:r>
      <w:r>
        <w:rPr>
          <w:i/>
          <w:iCs/>
          <w:sz w:val="28"/>
          <w:szCs w:val="28"/>
          <w:lang w:val="fr-FR"/>
        </w:rPr>
        <w:t>Revue des Études Anciennes</w:t>
      </w:r>
      <w:r>
        <w:rPr>
          <w:sz w:val="28"/>
          <w:szCs w:val="28"/>
          <w:lang w:val="fr-FR"/>
        </w:rPr>
        <w:t>, Année 1997, 99-1-2, pp. 1</w:t>
      </w:r>
      <w:r>
        <w:rPr>
          <w:sz w:val="28"/>
          <w:szCs w:val="28"/>
          <w:lang w:val="fr-FR"/>
        </w:rPr>
        <w:t>01-108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CUIR Raphaël, </w:t>
      </w:r>
      <w:r>
        <w:rPr>
          <w:i/>
          <w:iCs/>
          <w:sz w:val="28"/>
          <w:szCs w:val="28"/>
          <w:lang w:val="fr-FR"/>
        </w:rPr>
        <w:t>Renaissance de l'anatomie</w:t>
      </w:r>
      <w:r>
        <w:rPr>
          <w:sz w:val="28"/>
          <w:szCs w:val="28"/>
          <w:lang w:val="fr-FR"/>
        </w:rPr>
        <w:t>, Paris, Hermann, 2016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CUTLER A. / SPIESER J.M., </w:t>
      </w:r>
      <w:r>
        <w:rPr>
          <w:i/>
          <w:iCs/>
          <w:sz w:val="28"/>
          <w:szCs w:val="28"/>
          <w:lang w:val="fr-FR"/>
        </w:rPr>
        <w:t>Byzance médiévale – 700-1204</w:t>
      </w:r>
      <w:r>
        <w:rPr>
          <w:sz w:val="28"/>
          <w:szCs w:val="28"/>
          <w:lang w:val="fr-FR"/>
        </w:rPr>
        <w:t>, Paris, Gallimard, L'Univers des Formes, 1996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GLORIEUX Guillaume, </w:t>
      </w:r>
      <w:r>
        <w:rPr>
          <w:i/>
          <w:iCs/>
          <w:sz w:val="28"/>
          <w:szCs w:val="28"/>
          <w:lang w:val="fr-FR"/>
        </w:rPr>
        <w:t>L'histoire de l'art – Objet, sources et méthodes</w:t>
      </w:r>
      <w:r>
        <w:rPr>
          <w:sz w:val="28"/>
          <w:szCs w:val="28"/>
          <w:lang w:val="fr-FR"/>
        </w:rPr>
        <w:t xml:space="preserve">, Rennes, </w:t>
      </w:r>
      <w:r>
        <w:rPr>
          <w:sz w:val="28"/>
          <w:szCs w:val="28"/>
        </w:rPr>
        <w:t>Presses Universitaires de Rennes</w:t>
      </w:r>
      <w:r>
        <w:rPr>
          <w:sz w:val="28"/>
          <w:szCs w:val="28"/>
          <w:lang w:val="fr-FR"/>
        </w:rPr>
        <w:t xml:space="preserve">, 2015 </w:t>
      </w: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GROS Pierre, </w:t>
      </w:r>
      <w:r>
        <w:rPr>
          <w:i/>
          <w:iCs/>
          <w:sz w:val="28"/>
          <w:szCs w:val="28"/>
          <w:lang w:val="fr-FR"/>
        </w:rPr>
        <w:t xml:space="preserve">Vitruve et la tradition des traités d'architecture – </w:t>
      </w:r>
      <w:proofErr w:type="spellStart"/>
      <w:r>
        <w:rPr>
          <w:i/>
          <w:iCs/>
          <w:sz w:val="28"/>
          <w:szCs w:val="28"/>
          <w:lang w:val="fr-FR"/>
        </w:rPr>
        <w:t>Fabrica</w:t>
      </w:r>
      <w:proofErr w:type="spellEnd"/>
      <w:r>
        <w:rPr>
          <w:i/>
          <w:iCs/>
          <w:sz w:val="28"/>
          <w:szCs w:val="28"/>
          <w:lang w:val="fr-FR"/>
        </w:rPr>
        <w:t xml:space="preserve"> et </w:t>
      </w:r>
      <w:proofErr w:type="spellStart"/>
      <w:r>
        <w:rPr>
          <w:i/>
          <w:iCs/>
          <w:sz w:val="28"/>
          <w:szCs w:val="28"/>
          <w:lang w:val="fr-FR"/>
        </w:rPr>
        <w:t>Raciocinatio</w:t>
      </w:r>
      <w:proofErr w:type="spellEnd"/>
      <w:r>
        <w:rPr>
          <w:i/>
          <w:iCs/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Rome, École française de Rome, 2006 - </w:t>
      </w:r>
      <w:r>
        <w:rPr>
          <w:rStyle w:val="Accentuationforte"/>
          <w:b w:val="0"/>
          <w:bCs w:val="0"/>
          <w:sz w:val="28"/>
          <w:szCs w:val="28"/>
          <w:lang w:val="fr-FR"/>
        </w:rPr>
        <w:t xml:space="preserve">Publication sur </w:t>
      </w:r>
      <w:proofErr w:type="spellStart"/>
      <w:r>
        <w:rPr>
          <w:rStyle w:val="Accentuationforte"/>
          <w:b w:val="0"/>
          <w:bCs w:val="0"/>
          <w:sz w:val="28"/>
          <w:szCs w:val="28"/>
          <w:lang w:val="fr-FR"/>
        </w:rPr>
        <w:t>OpenEdition</w:t>
      </w:r>
      <w:proofErr w:type="spellEnd"/>
      <w:r>
        <w:rPr>
          <w:rStyle w:val="Accentuationforte"/>
          <w:b w:val="0"/>
          <w:bCs w:val="0"/>
          <w:sz w:val="28"/>
          <w:szCs w:val="28"/>
          <w:lang w:val="fr-FR"/>
        </w:rPr>
        <w:t xml:space="preserve"> Books</w:t>
      </w:r>
      <w:r>
        <w:rPr>
          <w:sz w:val="28"/>
          <w:szCs w:val="28"/>
          <w:lang w:val="fr-FR"/>
        </w:rPr>
        <w:t xml:space="preserve"> : </w:t>
      </w:r>
      <w:r>
        <w:rPr>
          <w:sz w:val="28"/>
          <w:szCs w:val="28"/>
          <w:lang w:val="fr-FR"/>
        </w:rPr>
        <w:t xml:space="preserve">07 juin 2013 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HAUSER Arnold, </w:t>
      </w:r>
      <w:r>
        <w:rPr>
          <w:i/>
          <w:iCs/>
          <w:sz w:val="28"/>
          <w:szCs w:val="28"/>
          <w:lang w:val="fr-FR"/>
        </w:rPr>
        <w:t>Histoire sociale de l</w:t>
      </w:r>
      <w:r>
        <w:rPr>
          <w:i/>
          <w:iCs/>
          <w:sz w:val="28"/>
          <w:szCs w:val="28"/>
          <w:lang w:val="fr-FR"/>
        </w:rPr>
        <w:t>'art et de la littérature</w:t>
      </w:r>
      <w:r>
        <w:rPr>
          <w:sz w:val="28"/>
          <w:szCs w:val="28"/>
          <w:lang w:val="fr-FR"/>
        </w:rPr>
        <w:t xml:space="preserve">, Paris, </w:t>
      </w:r>
      <w:proofErr w:type="spellStart"/>
      <w:r>
        <w:rPr>
          <w:sz w:val="28"/>
          <w:szCs w:val="28"/>
          <w:lang w:val="fr-FR"/>
        </w:rPr>
        <w:t>puf</w:t>
      </w:r>
      <w:proofErr w:type="spellEnd"/>
      <w:r>
        <w:rPr>
          <w:sz w:val="28"/>
          <w:szCs w:val="28"/>
          <w:lang w:val="fr-FR"/>
        </w:rPr>
        <w:t>, Coll. Quadrige, 2004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spacing w:line="100" w:lineRule="atLeas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HUYS Viviane, VERNANT Denis, </w:t>
      </w:r>
      <w:r>
        <w:rPr>
          <w:i/>
          <w:iCs/>
          <w:sz w:val="28"/>
          <w:szCs w:val="28"/>
          <w:lang w:val="fr-FR"/>
        </w:rPr>
        <w:t>Histoire de l'art – Théories, Méthodes et Outil</w:t>
      </w:r>
      <w:r>
        <w:rPr>
          <w:sz w:val="28"/>
          <w:szCs w:val="28"/>
          <w:lang w:val="fr-FR"/>
        </w:rPr>
        <w:t>s, Paris, Armand Colin, 2014</w:t>
      </w:r>
    </w:p>
    <w:p w:rsidR="00501960" w:rsidRDefault="00501960">
      <w:pPr>
        <w:spacing w:line="100" w:lineRule="atLeast"/>
        <w:jc w:val="both"/>
        <w:rPr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JAHAN Sébastien, </w:t>
      </w:r>
      <w:r>
        <w:rPr>
          <w:i/>
          <w:iCs/>
          <w:sz w:val="28"/>
          <w:szCs w:val="28"/>
          <w:lang w:val="fr-FR"/>
        </w:rPr>
        <w:t>Les Renaissances du corps en Occident (1450-1650)</w:t>
      </w:r>
      <w:r>
        <w:rPr>
          <w:sz w:val="28"/>
          <w:szCs w:val="28"/>
          <w:lang w:val="fr-FR"/>
        </w:rPr>
        <w:t>, Paris, Belin, 2004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>
        <w:rPr>
          <w:sz w:val="28"/>
          <w:szCs w:val="28"/>
          <w:lang w:val="fr-FR"/>
        </w:rPr>
        <w:t xml:space="preserve">ANEYRIE-DAGEN </w:t>
      </w:r>
      <w:proofErr w:type="spellStart"/>
      <w:r>
        <w:rPr>
          <w:sz w:val="28"/>
          <w:szCs w:val="28"/>
          <w:lang w:val="fr-FR"/>
        </w:rPr>
        <w:t>Nadeije</w:t>
      </w:r>
      <w:proofErr w:type="spellEnd"/>
      <w:r>
        <w:rPr>
          <w:sz w:val="28"/>
          <w:szCs w:val="28"/>
          <w:lang w:val="fr-FR"/>
        </w:rPr>
        <w:t xml:space="preserve">, </w:t>
      </w:r>
      <w:r>
        <w:rPr>
          <w:i/>
          <w:iCs/>
          <w:sz w:val="28"/>
          <w:szCs w:val="28"/>
          <w:lang w:val="fr-FR"/>
        </w:rPr>
        <w:t>L'invention du corps - La représentation de l'homme du Moyen Âge à la fin du XIXe siècle</w:t>
      </w:r>
      <w:r>
        <w:rPr>
          <w:sz w:val="28"/>
          <w:szCs w:val="28"/>
          <w:lang w:val="fr-FR"/>
        </w:rPr>
        <w:t>, Paris, Flammarion, 2009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MICHALOWSKY K., </w:t>
      </w:r>
      <w:r>
        <w:rPr>
          <w:i/>
          <w:iCs/>
          <w:sz w:val="28"/>
          <w:szCs w:val="28"/>
          <w:lang w:val="fr-FR"/>
        </w:rPr>
        <w:t>L'art de l'ancienne Égypte</w:t>
      </w:r>
      <w:r>
        <w:rPr>
          <w:sz w:val="28"/>
          <w:szCs w:val="28"/>
          <w:lang w:val="fr-FR"/>
        </w:rPr>
        <w:t>, [1968], Paris, Mazenod, 1985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MICHAUD </w:t>
      </w:r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ric,</w:t>
      </w:r>
      <w:r>
        <w:rPr>
          <w:i/>
          <w:iCs/>
          <w:sz w:val="28"/>
          <w:szCs w:val="28"/>
          <w:lang w:val="fr-FR"/>
        </w:rPr>
        <w:t xml:space="preserve"> Les invasions barbares – Une g</w:t>
      </w:r>
      <w:r>
        <w:rPr>
          <w:i/>
          <w:iCs/>
          <w:sz w:val="28"/>
          <w:szCs w:val="28"/>
          <w:lang w:val="fr-FR"/>
        </w:rPr>
        <w:t>énéalogie de l'histoire de l'art</w:t>
      </w:r>
      <w:r>
        <w:rPr>
          <w:sz w:val="28"/>
          <w:szCs w:val="28"/>
          <w:lang w:val="fr-FR"/>
        </w:rPr>
        <w:t xml:space="preserve">, Paris, Gallimard, </w:t>
      </w:r>
      <w:proofErr w:type="spellStart"/>
      <w:r>
        <w:rPr>
          <w:i/>
          <w:iCs/>
          <w:sz w:val="28"/>
          <w:szCs w:val="28"/>
          <w:lang w:val="fr-FR"/>
        </w:rPr>
        <w:t>nrf</w:t>
      </w:r>
      <w:proofErr w:type="spellEnd"/>
      <w:r>
        <w:rPr>
          <w:i/>
          <w:iCs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essais, 2015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PANOFSKY Erwin, "L'histoire de la théorie des proportions humaines conçue comme un miroir de l'histoire des styles" dans  </w:t>
      </w:r>
      <w:r>
        <w:rPr>
          <w:i/>
          <w:iCs/>
          <w:sz w:val="28"/>
          <w:szCs w:val="28"/>
          <w:lang w:val="fr-FR"/>
        </w:rPr>
        <w:t>L’œuvre d'art et ses significations</w:t>
      </w:r>
      <w:r>
        <w:rPr>
          <w:sz w:val="28"/>
          <w:szCs w:val="28"/>
          <w:lang w:val="fr-FR"/>
        </w:rPr>
        <w:t>, Paris, Gallimard, 1969, pp.</w:t>
      </w:r>
      <w:r>
        <w:rPr>
          <w:sz w:val="28"/>
          <w:szCs w:val="28"/>
          <w:lang w:val="fr-FR"/>
        </w:rPr>
        <w:t>79-129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RÖHRL Boris, </w:t>
      </w:r>
      <w:r>
        <w:rPr>
          <w:i/>
          <w:iCs/>
          <w:sz w:val="28"/>
          <w:szCs w:val="28"/>
          <w:lang w:val="fr-FR"/>
        </w:rPr>
        <w:t>Philosophie marxiste et histoire de l'art- Introduction, évolution, terminologie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Vulaines</w:t>
      </w:r>
      <w:proofErr w:type="spellEnd"/>
      <w:r>
        <w:rPr>
          <w:sz w:val="28"/>
          <w:szCs w:val="28"/>
          <w:lang w:val="fr-FR"/>
        </w:rPr>
        <w:t>-sur-Seine, Édition du Croquant, 2016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TALON-HUGON Carole </w:t>
      </w:r>
      <w:proofErr w:type="spellStart"/>
      <w:proofErr w:type="gramStart"/>
      <w:r>
        <w:rPr>
          <w:sz w:val="28"/>
          <w:szCs w:val="28"/>
          <w:lang w:val="fr-FR"/>
        </w:rPr>
        <w:t>dir</w:t>
      </w:r>
      <w:proofErr w:type="spellEnd"/>
      <w:r>
        <w:rPr>
          <w:sz w:val="28"/>
          <w:szCs w:val="28"/>
          <w:lang w:val="fr-FR"/>
        </w:rPr>
        <w:t>.,</w:t>
      </w:r>
      <w:proofErr w:type="gramEnd"/>
      <w:r>
        <w:rPr>
          <w:i/>
          <w:iCs/>
          <w:sz w:val="28"/>
          <w:szCs w:val="28"/>
          <w:lang w:val="fr-FR"/>
        </w:rPr>
        <w:t xml:space="preserve"> Les théoriciens de l'art</w:t>
      </w:r>
      <w:r>
        <w:rPr>
          <w:sz w:val="28"/>
          <w:szCs w:val="28"/>
          <w:lang w:val="fr-FR"/>
        </w:rPr>
        <w:t xml:space="preserve">, Paris, </w:t>
      </w:r>
      <w:proofErr w:type="spellStart"/>
      <w:r>
        <w:rPr>
          <w:sz w:val="28"/>
          <w:szCs w:val="28"/>
          <w:lang w:val="fr-FR"/>
        </w:rPr>
        <w:t>puf</w:t>
      </w:r>
      <w:proofErr w:type="spellEnd"/>
      <w:r>
        <w:rPr>
          <w:sz w:val="28"/>
          <w:szCs w:val="28"/>
          <w:lang w:val="fr-FR"/>
        </w:rPr>
        <w:t>, 2017</w:t>
      </w:r>
    </w:p>
    <w:p w:rsidR="00501960" w:rsidRDefault="00501960">
      <w:pPr>
        <w:jc w:val="both"/>
        <w:rPr>
          <w:sz w:val="28"/>
          <w:szCs w:val="28"/>
          <w:lang w:val="fr-FR"/>
        </w:rPr>
      </w:pPr>
    </w:p>
    <w:p w:rsidR="00501960" w:rsidRDefault="00912A28">
      <w:pPr>
        <w:jc w:val="both"/>
        <w:rPr>
          <w:rFonts w:eastAsia="Adobe Garamond Pro;Adobe Garamo" w:cs="Adobe Garamond Pro;Adobe Garamo"/>
          <w:color w:val="000000"/>
          <w:sz w:val="28"/>
          <w:szCs w:val="28"/>
          <w:lang w:val="fr-FR"/>
        </w:rPr>
      </w:pPr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>VIGARELLO</w:t>
      </w:r>
      <w:r>
        <w:rPr>
          <w:rFonts w:eastAsia="Adobe Garamond Pro;Adobe Garamo" w:cs="Adobe Garamond Pro;Adobe Garamo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 xml:space="preserve">Georges </w:t>
      </w:r>
      <w:proofErr w:type="spellStart"/>
      <w:proofErr w:type="gramStart"/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>dir</w:t>
      </w:r>
      <w:proofErr w:type="spellEnd"/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>.,</w:t>
      </w:r>
      <w:proofErr w:type="gramEnd"/>
      <w:r>
        <w:rPr>
          <w:rFonts w:eastAsia="Adobe Garamond Pro;Adobe Garamo" w:cs="Adobe Garamond Pro;Adobe Garamo"/>
          <w:i/>
          <w:iCs/>
          <w:color w:val="000000"/>
          <w:sz w:val="28"/>
          <w:szCs w:val="28"/>
          <w:lang w:val="fr-FR"/>
        </w:rPr>
        <w:t xml:space="preserve">  Histoire du </w:t>
      </w:r>
      <w:r>
        <w:rPr>
          <w:rFonts w:eastAsia="Adobe Garamond Pro;Adobe Garamo" w:cs="Adobe Garamond Pro;Adobe Garamo"/>
          <w:i/>
          <w:iCs/>
          <w:color w:val="000000"/>
          <w:sz w:val="28"/>
          <w:szCs w:val="28"/>
          <w:lang w:val="fr-FR"/>
        </w:rPr>
        <w:t xml:space="preserve">corps - I De la Renaissance aux Lumières, </w:t>
      </w:r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>Paris, Seuil, 2005; Points-Histoire, 2011</w:t>
      </w:r>
    </w:p>
    <w:p w:rsidR="00501960" w:rsidRDefault="00501960">
      <w:pPr>
        <w:jc w:val="both"/>
        <w:rPr>
          <w:rFonts w:eastAsia="Adobe Garamond Pro;Adobe Garamo" w:cs="Adobe Garamond Pro;Adobe Garamo"/>
          <w:color w:val="000000"/>
          <w:sz w:val="28"/>
          <w:szCs w:val="28"/>
          <w:lang w:val="fr-FR"/>
        </w:rPr>
      </w:pPr>
    </w:p>
    <w:p w:rsidR="00501960" w:rsidRDefault="00501960">
      <w:pPr>
        <w:jc w:val="both"/>
        <w:rPr>
          <w:rFonts w:eastAsia="Adobe Garamond Pro;Adobe Garamo" w:cs="Adobe Garamond Pro;Adobe Garamo"/>
          <w:color w:val="000000"/>
          <w:sz w:val="28"/>
          <w:szCs w:val="28"/>
          <w:lang w:val="fr-FR"/>
        </w:rPr>
      </w:pPr>
    </w:p>
    <w:p w:rsidR="00501960" w:rsidRDefault="00912A28">
      <w:pPr>
        <w:jc w:val="both"/>
        <w:rPr>
          <w:rFonts w:eastAsia="Adobe Garamond Pro;Adobe Garamo" w:cs="Adobe Garamond Pro;Adobe Garamo"/>
          <w:color w:val="000000"/>
          <w:sz w:val="28"/>
          <w:szCs w:val="28"/>
          <w:lang w:val="fr-FR"/>
        </w:rPr>
      </w:pPr>
      <w:r>
        <w:rPr>
          <w:rFonts w:eastAsia="Adobe Garamond Pro;Adobe Garamo" w:cs="Adobe Garamond Pro;Adobe Garamo"/>
          <w:color w:val="000000"/>
          <w:sz w:val="28"/>
          <w:szCs w:val="28"/>
          <w:lang w:val="fr-FR"/>
        </w:rPr>
        <w:t xml:space="preserve"> </w:t>
      </w:r>
    </w:p>
    <w:sectPr w:rsidR="00501960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;Adobe Garamo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60"/>
    <w:rsid w:val="00501960"/>
    <w:rsid w:val="009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Andale Sans UI" w:hAnsi="Times New Roman" w:cs="Tahoma"/>
      <w:lang w:val="uz-Cyrl-UZ" w:eastAsia="uz-Cyrl-UZ" w:bidi="uz-Cyrl-U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Andale Sans UI" w:hAnsi="Times New Roman" w:cs="Tahoma"/>
      <w:lang w:val="uz-Cyrl-UZ" w:eastAsia="uz-Cyrl-UZ" w:bidi="uz-Cyrl-U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2656</Characters>
  <Application>Microsoft Macintosh Word</Application>
  <DocSecurity>0</DocSecurity>
  <Lines>22</Lines>
  <Paragraphs>6</Paragraphs>
  <ScaleCrop>false</ScaleCrop>
  <Company>Institut d'Études Françaises d'Avignon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ALCARAS</cp:lastModifiedBy>
  <cp:revision>2</cp:revision>
  <dcterms:created xsi:type="dcterms:W3CDTF">2018-03-17T14:40:00Z</dcterms:created>
  <dcterms:modified xsi:type="dcterms:W3CDTF">2018-03-17T14:40:00Z</dcterms:modified>
</cp:coreProperties>
</file>